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25"/>
          <w:tab w:val="left" w:pos="8278"/>
        </w:tabs>
        <w:overflowPunct w:val="0"/>
        <w:snapToGrid w:val="0"/>
        <w:jc w:val="center"/>
        <w:outlineLvl w:val="0"/>
        <w:rPr>
          <w:rFonts w:hint="eastAsia" w:ascii="仿宋_GB2312" w:hAnsi="宋体" w:eastAsia="仿宋_GB2312" w:cs="宋体"/>
          <w:b/>
          <w:sz w:val="32"/>
          <w:szCs w:val="32"/>
        </w:rPr>
      </w:pPr>
      <w:r>
        <w:rPr>
          <w:rFonts w:hint="eastAsia" w:ascii="仿宋_GB2312" w:hAnsi="宋体" w:eastAsia="仿宋_GB2312" w:cs="宋体"/>
          <w:b/>
          <w:sz w:val="32"/>
          <w:szCs w:val="32"/>
        </w:rPr>
        <w:t>衢江区防疫综合体餐饮服务单位入围项目（第三次）</w:t>
      </w:r>
    </w:p>
    <w:p>
      <w:pPr>
        <w:pStyle w:val="7"/>
        <w:jc w:val="center"/>
        <w:outlineLvl w:val="0"/>
        <w:rPr>
          <w:rFonts w:hint="eastAsia" w:ascii="仿宋" w:hAnsi="仿宋" w:eastAsia="仿宋" w:cs="仿宋"/>
          <w:i w:val="0"/>
          <w:iCs w:val="0"/>
          <w:sz w:val="28"/>
          <w:szCs w:val="28"/>
        </w:rPr>
      </w:pPr>
      <w:r>
        <w:rPr>
          <w:rFonts w:hint="eastAsia" w:ascii="仿宋_GB2312" w:hAnsi="宋体" w:eastAsia="仿宋_GB2312" w:cs="宋体"/>
          <w:b/>
          <w:i w:val="0"/>
          <w:iCs w:val="0"/>
          <w:color w:val="auto"/>
          <w:sz w:val="32"/>
          <w:szCs w:val="32"/>
        </w:rPr>
        <w:t>采购内容及要求</w:t>
      </w:r>
    </w:p>
    <w:p>
      <w:pPr>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 w:hAnsi="仿宋" w:eastAsia="仿宋" w:cs="仿宋"/>
          <w:b/>
          <w:color w:val="auto"/>
          <w:sz w:val="28"/>
          <w:szCs w:val="28"/>
          <w:lang w:bidi="ar"/>
        </w:rPr>
      </w:pPr>
      <w:r>
        <w:rPr>
          <w:rFonts w:hint="eastAsia" w:ascii="仿宋" w:hAnsi="仿宋" w:eastAsia="仿宋" w:cs="仿宋"/>
          <w:b/>
          <w:color w:val="auto"/>
          <w:sz w:val="28"/>
          <w:szCs w:val="28"/>
        </w:rPr>
        <w:t>一、重要商务要求一览表</w:t>
      </w:r>
    </w:p>
    <w:tbl>
      <w:tblPr>
        <w:tblStyle w:val="5"/>
        <w:tblW w:w="1016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000"/>
        <w:gridCol w:w="73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b/>
                <w:bCs/>
                <w:sz w:val="28"/>
                <w:szCs w:val="28"/>
                <w:lang w:val="en-US" w:eastAsia="zh-CN"/>
              </w:rPr>
            </w:pPr>
            <w:bookmarkStart w:id="0" w:name="_Toc513103337"/>
            <w:r>
              <w:rPr>
                <w:rFonts w:hint="eastAsia" w:ascii="仿宋" w:hAnsi="仿宋" w:eastAsia="仿宋" w:cs="仿宋"/>
                <w:b/>
                <w:bCs/>
                <w:sz w:val="28"/>
                <w:szCs w:val="28"/>
                <w:lang w:val="en-US" w:eastAsia="zh-CN"/>
              </w:rPr>
              <w:t>序号</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项目</w:t>
            </w:r>
            <w:bookmarkEnd w:id="0"/>
          </w:p>
        </w:tc>
        <w:tc>
          <w:tcPr>
            <w:tcW w:w="7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合同签订期限</w:t>
            </w:r>
          </w:p>
        </w:tc>
        <w:tc>
          <w:tcPr>
            <w:tcW w:w="7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eastAsia="zh-CN"/>
              </w:rPr>
              <w:t>中标（入围）通知书</w:t>
            </w:r>
            <w:r>
              <w:rPr>
                <w:rFonts w:hint="eastAsia" w:ascii="仿宋" w:hAnsi="仿宋" w:eastAsia="仿宋" w:cs="仿宋"/>
                <w:sz w:val="28"/>
                <w:szCs w:val="28"/>
              </w:rPr>
              <w:t xml:space="preserve">发出后三十天内签订合同。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rPr>
            </w:pPr>
            <w:bookmarkStart w:id="1" w:name="OLE_LINK24"/>
            <w:r>
              <w:rPr>
                <w:rFonts w:hint="eastAsia" w:ascii="仿宋" w:hAnsi="仿宋" w:eastAsia="仿宋" w:cs="仿宋"/>
                <w:sz w:val="28"/>
                <w:szCs w:val="28"/>
              </w:rPr>
              <w:t>2</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服务期限</w:t>
            </w:r>
            <w:bookmarkEnd w:id="1"/>
          </w:p>
        </w:tc>
        <w:tc>
          <w:tcPr>
            <w:tcW w:w="7329" w:type="dxa"/>
            <w:tcBorders>
              <w:top w:val="single" w:color="auto" w:sz="4" w:space="0"/>
              <w:left w:val="nil"/>
              <w:bottom w:val="single" w:color="auto" w:sz="4" w:space="0"/>
              <w:right w:val="single" w:color="auto" w:sz="4" w:space="0"/>
            </w:tcBorders>
            <w:noWrap w:val="0"/>
            <w:vAlign w:val="center"/>
          </w:tcPr>
          <w:p>
            <w:pPr>
              <w:pStyle w:val="1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自合同签订之日起</w:t>
            </w:r>
            <w:r>
              <w:rPr>
                <w:rFonts w:hint="eastAsia" w:ascii="仿宋" w:hAnsi="仿宋" w:eastAsia="仿宋" w:cs="仿宋"/>
                <w:color w:val="auto"/>
                <w:sz w:val="28"/>
                <w:szCs w:val="28"/>
                <w:highlight w:val="none"/>
                <w:lang w:val="en-US" w:eastAsia="zh-CN"/>
              </w:rPr>
              <w:t>半</w:t>
            </w:r>
            <w:r>
              <w:rPr>
                <w:rFonts w:hint="eastAsia" w:ascii="仿宋" w:hAnsi="仿宋" w:eastAsia="仿宋" w:cs="仿宋"/>
                <w:color w:val="auto"/>
                <w:sz w:val="28"/>
                <w:szCs w:val="28"/>
                <w:highlight w:val="none"/>
                <w:lang w:eastAsia="zh-CN"/>
              </w:rPr>
              <w:t>年。</w:t>
            </w:r>
          </w:p>
          <w:p>
            <w:pPr>
              <w:pStyle w:val="1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入围后以随机抽取的形式，2个月为一个服务周期，每2个月重新参与抽签，抽中即为下一个周期的餐饮服务供应商。</w:t>
            </w: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服务周期内引起投诉次数达到</w:t>
            </w:r>
            <w:r>
              <w:rPr>
                <w:rFonts w:hint="eastAsia" w:ascii="仿宋" w:hAnsi="仿宋" w:eastAsia="仿宋" w:cs="仿宋"/>
                <w:color w:val="auto"/>
                <w:sz w:val="28"/>
                <w:szCs w:val="28"/>
                <w:highlight w:val="none"/>
                <w:lang w:val="en-US" w:eastAsia="zh-CN"/>
              </w:rPr>
              <w:t>3次及以上且不积极并未能妥善处理的，或发生卫生事件，给采购人造成不良后果的，采购人有权单方面终止合同。</w:t>
            </w:r>
          </w:p>
          <w:p>
            <w:pPr>
              <w:pStyle w:val="11"/>
              <w:rPr>
                <w:rFonts w:hint="eastAsia"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highlight w:val="none"/>
                <w:lang w:eastAsia="zh-CN"/>
              </w:rPr>
              <w:t>因政府政策原因，疫情隔离点被撤离或该项目不再由采购人运营，项目合同终止执行，采购人不承担责任。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服务地点</w:t>
            </w:r>
          </w:p>
        </w:tc>
        <w:tc>
          <w:tcPr>
            <w:tcW w:w="7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kern w:val="2"/>
                <w:sz w:val="28"/>
                <w:szCs w:val="28"/>
                <w:shd w:val="clear" w:color="auto" w:fill="auto"/>
                <w:lang w:val="en-US" w:eastAsia="zh-CN" w:bidi="ar-SA"/>
              </w:rPr>
              <w:t>衢江区防疫综合体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最高限价</w:t>
            </w:r>
          </w:p>
        </w:tc>
        <w:tc>
          <w:tcPr>
            <w:tcW w:w="7329" w:type="dxa"/>
            <w:tcBorders>
              <w:top w:val="single" w:color="auto" w:sz="4" w:space="0"/>
              <w:left w:val="nil"/>
              <w:bottom w:val="single" w:color="auto" w:sz="4" w:space="0"/>
              <w:right w:val="single" w:color="auto" w:sz="4" w:space="0"/>
            </w:tcBorders>
            <w:noWrap w:val="0"/>
            <w:vAlign w:val="center"/>
          </w:tcPr>
          <w:p>
            <w:pPr>
              <w:pStyle w:val="4"/>
              <w:ind w:left="0" w:leftChars="0" w:firstLine="0" w:firstLineChars="0"/>
              <w:jc w:val="both"/>
              <w:rPr>
                <w:rFonts w:hint="default" w:ascii="仿宋" w:hAnsi="仿宋" w:eastAsia="仿宋" w:cs="仿宋"/>
                <w:smallCap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工作餐：</w:t>
            </w:r>
            <w:r>
              <w:rPr>
                <w:rFonts w:hint="eastAsia" w:ascii="仿宋" w:hAnsi="仿宋" w:eastAsia="仿宋" w:cs="仿宋"/>
                <w:color w:val="auto"/>
                <w:sz w:val="28"/>
                <w:szCs w:val="28"/>
                <w:highlight w:val="none"/>
                <w:lang w:val="en-US" w:eastAsia="zh-CN"/>
              </w:rPr>
              <w:t>1人/天配餐标准：100元</w:t>
            </w:r>
            <w:r>
              <w:rPr>
                <w:rFonts w:hint="eastAsia" w:ascii="仿宋_GB2312" w:hAnsi="Courier New" w:eastAsia="仿宋_GB2312" w:cs="Times New Roman"/>
                <w:smallCaps/>
                <w:color w:val="auto"/>
                <w:kern w:val="2"/>
                <w:sz w:val="28"/>
                <w:szCs w:val="28"/>
                <w:highlight w:val="none"/>
                <w:lang w:val="en-US" w:eastAsia="zh-CN" w:bidi="ar-SA"/>
              </w:rPr>
              <w:t>（包含早餐、中餐、晚餐</w:t>
            </w:r>
            <w:r>
              <w:rPr>
                <w:rFonts w:hint="eastAsia" w:hAnsi="Courier New" w:cs="Times New Roman"/>
                <w:smallCaps/>
                <w:color w:val="auto"/>
                <w:kern w:val="2"/>
                <w:sz w:val="28"/>
                <w:szCs w:val="28"/>
                <w:highlight w:val="none"/>
                <w:lang w:val="en-US" w:eastAsia="zh-CN" w:bidi="ar-SA"/>
              </w:rPr>
              <w:t>。中餐及晚</w:t>
            </w:r>
            <w:r>
              <w:rPr>
                <w:rFonts w:hint="eastAsia" w:ascii="仿宋_GB2312" w:hAnsi="Courier New" w:eastAsia="仿宋_GB2312" w:cs="Times New Roman"/>
                <w:smallCaps/>
                <w:color w:val="auto"/>
                <w:kern w:val="2"/>
                <w:sz w:val="28"/>
                <w:szCs w:val="28"/>
                <w:highlight w:val="none"/>
                <w:lang w:val="en-US" w:eastAsia="zh-CN" w:bidi="ar-SA"/>
              </w:rPr>
              <w:t>餐含水果</w:t>
            </w:r>
            <w:r>
              <w:rPr>
                <w:rFonts w:hint="eastAsia" w:hAnsi="Courier New" w:cs="Times New Roman"/>
                <w:smallCaps/>
                <w:color w:val="auto"/>
                <w:kern w:val="2"/>
                <w:sz w:val="28"/>
                <w:szCs w:val="28"/>
                <w:highlight w:val="none"/>
                <w:lang w:val="en-US" w:eastAsia="zh-CN" w:bidi="ar-SA"/>
              </w:rPr>
              <w:t>及</w:t>
            </w:r>
            <w:r>
              <w:rPr>
                <w:rFonts w:hint="eastAsia" w:ascii="仿宋_GB2312" w:hAnsi="Courier New" w:eastAsia="仿宋_GB2312" w:cs="Times New Roman"/>
                <w:smallCaps/>
                <w:color w:val="auto"/>
                <w:kern w:val="2"/>
                <w:sz w:val="28"/>
                <w:szCs w:val="28"/>
                <w:highlight w:val="none"/>
                <w:lang w:val="en-US" w:eastAsia="zh-CN" w:bidi="ar-SA"/>
              </w:rPr>
              <w:t>饮料）</w:t>
            </w:r>
            <w:r>
              <w:rPr>
                <w:rFonts w:hint="eastAsia" w:ascii="仿宋" w:hAnsi="仿宋" w:eastAsia="仿宋" w:cs="仿宋"/>
                <w:smallCaps/>
                <w:color w:val="auto"/>
                <w:sz w:val="28"/>
                <w:szCs w:val="28"/>
                <w:highlight w:val="none"/>
                <w:lang w:val="en-US" w:eastAsia="zh-CN"/>
              </w:rPr>
              <w:t>。</w:t>
            </w:r>
          </w:p>
          <w:p>
            <w:pPr>
              <w:pStyle w:val="4"/>
              <w:ind w:left="0" w:leftChars="0" w:firstLine="0" w:firstLineChars="0"/>
              <w:jc w:val="both"/>
              <w:rPr>
                <w:rFonts w:hint="eastAsia" w:ascii="仿宋" w:hAnsi="仿宋" w:eastAsia="仿宋" w:cs="仿宋"/>
                <w:smallCap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隔离餐：</w:t>
            </w:r>
            <w:r>
              <w:rPr>
                <w:rFonts w:hint="eastAsia" w:ascii="仿宋" w:hAnsi="仿宋" w:eastAsia="仿宋" w:cs="仿宋"/>
                <w:color w:val="auto"/>
                <w:sz w:val="28"/>
                <w:szCs w:val="28"/>
                <w:highlight w:val="none"/>
                <w:lang w:val="en-US" w:eastAsia="zh-CN"/>
              </w:rPr>
              <w:t>1人/天配餐标准：70元</w:t>
            </w:r>
            <w:r>
              <w:rPr>
                <w:rFonts w:hint="eastAsia" w:ascii="仿宋_GB2312" w:hAnsi="Courier New" w:eastAsia="仿宋_GB2312" w:cs="Times New Roman"/>
                <w:smallCaps/>
                <w:color w:val="auto"/>
                <w:kern w:val="2"/>
                <w:sz w:val="28"/>
                <w:szCs w:val="28"/>
                <w:highlight w:val="none"/>
                <w:lang w:val="en-US" w:eastAsia="zh-CN" w:bidi="ar-SA"/>
              </w:rPr>
              <w:t>（包含早餐、中餐、晚餐</w:t>
            </w:r>
            <w:r>
              <w:rPr>
                <w:rFonts w:hint="eastAsia" w:hAnsi="Courier New" w:cs="Times New Roman"/>
                <w:smallCaps/>
                <w:color w:val="auto"/>
                <w:kern w:val="2"/>
                <w:sz w:val="28"/>
                <w:szCs w:val="28"/>
                <w:highlight w:val="none"/>
                <w:lang w:val="en-US" w:eastAsia="zh-CN" w:bidi="ar-SA"/>
              </w:rPr>
              <w:t>。中餐及晚</w:t>
            </w:r>
            <w:r>
              <w:rPr>
                <w:rFonts w:hint="eastAsia" w:ascii="仿宋_GB2312" w:hAnsi="Courier New" w:eastAsia="仿宋_GB2312" w:cs="Times New Roman"/>
                <w:smallCaps/>
                <w:color w:val="auto"/>
                <w:kern w:val="2"/>
                <w:sz w:val="28"/>
                <w:szCs w:val="28"/>
                <w:highlight w:val="none"/>
                <w:lang w:val="en-US" w:eastAsia="zh-CN" w:bidi="ar-SA"/>
              </w:rPr>
              <w:t>餐含水果</w:t>
            </w:r>
            <w:r>
              <w:rPr>
                <w:rFonts w:hint="eastAsia" w:hAnsi="Courier New" w:cs="Times New Roman"/>
                <w:smallCaps/>
                <w:color w:val="auto"/>
                <w:kern w:val="2"/>
                <w:sz w:val="28"/>
                <w:szCs w:val="28"/>
                <w:highlight w:val="none"/>
                <w:lang w:val="en-US" w:eastAsia="zh-CN" w:bidi="ar-SA"/>
              </w:rPr>
              <w:t>及</w:t>
            </w:r>
            <w:r>
              <w:rPr>
                <w:rFonts w:hint="eastAsia" w:ascii="仿宋_GB2312" w:hAnsi="Courier New" w:eastAsia="仿宋_GB2312" w:cs="Times New Roman"/>
                <w:smallCaps/>
                <w:color w:val="auto"/>
                <w:kern w:val="2"/>
                <w:sz w:val="28"/>
                <w:szCs w:val="28"/>
                <w:highlight w:val="none"/>
                <w:lang w:val="en-US" w:eastAsia="zh-CN" w:bidi="ar-SA"/>
              </w:rPr>
              <w:t>饮料）</w:t>
            </w:r>
            <w:r>
              <w:rPr>
                <w:rFonts w:hint="eastAsia" w:ascii="仿宋" w:hAnsi="仿宋" w:eastAsia="仿宋" w:cs="仿宋"/>
                <w:smallCaps/>
                <w:color w:val="auto"/>
                <w:sz w:val="28"/>
                <w:szCs w:val="28"/>
                <w:highlight w:val="none"/>
                <w:lang w:val="en-US" w:eastAsia="zh-CN"/>
              </w:rPr>
              <w:t>。</w:t>
            </w:r>
          </w:p>
          <w:p>
            <w:pPr>
              <w:pStyle w:val="11"/>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 w:hAnsi="仿宋" w:eastAsia="仿宋" w:cs="仿宋"/>
                <w:color w:val="auto"/>
                <w:sz w:val="28"/>
                <w:szCs w:val="28"/>
                <w:shd w:val="clear" w:color="auto" w:fill="auto"/>
              </w:rPr>
            </w:pPr>
            <w:r>
              <w:rPr>
                <w:rFonts w:hint="eastAsia" w:ascii="仿宋" w:hAnsi="仿宋" w:eastAsia="仿宋" w:cs="仿宋"/>
                <w:color w:val="auto"/>
                <w:sz w:val="28"/>
                <w:szCs w:val="28"/>
                <w:shd w:val="clear" w:color="auto" w:fill="auto"/>
                <w:lang w:val="en-US" w:eastAsia="zh-CN"/>
              </w:rPr>
              <w:t>2、</w:t>
            </w:r>
            <w:r>
              <w:rPr>
                <w:rFonts w:hint="eastAsia" w:ascii="仿宋" w:hAnsi="仿宋" w:eastAsia="仿宋" w:cs="仿宋"/>
                <w:color w:val="auto"/>
                <w:sz w:val="28"/>
                <w:szCs w:val="28"/>
                <w:shd w:val="clear" w:color="auto" w:fill="auto"/>
              </w:rPr>
              <w:t>投标报价包括：</w:t>
            </w:r>
            <w:r>
              <w:rPr>
                <w:rFonts w:hint="eastAsia" w:ascii="仿宋" w:hAnsi="仿宋" w:eastAsia="仿宋" w:cs="仿宋"/>
                <w:color w:val="auto"/>
                <w:sz w:val="28"/>
                <w:szCs w:val="28"/>
                <w:shd w:val="clear" w:color="auto" w:fill="auto"/>
                <w:lang w:val="en-US" w:eastAsia="zh-CN"/>
              </w:rPr>
              <w:t>投标人</w:t>
            </w:r>
            <w:r>
              <w:rPr>
                <w:rFonts w:hint="eastAsia" w:ascii="仿宋" w:hAnsi="仿宋" w:eastAsia="仿宋" w:cs="仿宋"/>
                <w:color w:val="auto"/>
                <w:kern w:val="2"/>
                <w:sz w:val="28"/>
                <w:szCs w:val="28"/>
                <w:shd w:val="clear" w:color="auto" w:fill="auto"/>
                <w:lang w:val="en-US" w:eastAsia="zh-CN" w:bidi="ar-SA"/>
              </w:rPr>
              <w:t>提供的服务应包含所有工作所需的设施、设备、场地、人员工资、配送费、交通费、餐具费、管理费、风险、税费及利润等完成合同所需的一切本身和不可或缺的所有工作开支、政策性文件规定及合同包含的所有风险、责任等各项全部费用。如有漏项,视同已包含在其报价中，合同价不予调整。</w:t>
            </w:r>
            <w:r>
              <w:rPr>
                <w:rFonts w:hint="eastAsia" w:ascii="仿宋" w:hAnsi="仿宋" w:eastAsia="仿宋" w:cs="仿宋"/>
                <w:color w:val="auto"/>
                <w:sz w:val="28"/>
                <w:szCs w:val="28"/>
                <w:shd w:val="clear" w:color="auto" w:fill="auto"/>
                <w:lang w:val="en-US" w:eastAsia="zh-CN"/>
              </w:rPr>
              <w:t>投标人</w:t>
            </w:r>
            <w:r>
              <w:rPr>
                <w:rFonts w:hint="eastAsia" w:ascii="仿宋" w:hAnsi="仿宋" w:eastAsia="仿宋" w:cs="仿宋"/>
                <w:color w:val="auto"/>
                <w:kern w:val="2"/>
                <w:sz w:val="28"/>
                <w:szCs w:val="28"/>
                <w:shd w:val="clear" w:color="auto" w:fill="auto"/>
                <w:lang w:val="en-US" w:eastAsia="zh-CN" w:bidi="ar-SA"/>
              </w:rPr>
              <w:t>应认真计算可能发生的各相关费用并计入服务费用内，在项目实施过程中不得要求增加任何费用。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9"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付款方式</w:t>
            </w:r>
          </w:p>
        </w:tc>
        <w:tc>
          <w:tcPr>
            <w:tcW w:w="7329" w:type="dxa"/>
            <w:tcBorders>
              <w:top w:val="single" w:color="auto" w:sz="4" w:space="0"/>
              <w:left w:val="nil"/>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auto"/>
                <w:kern w:val="2"/>
                <w:sz w:val="28"/>
                <w:szCs w:val="28"/>
                <w:shd w:val="clear" w:color="auto" w:fill="auto"/>
                <w:lang w:val="en-US" w:eastAsia="zh-CN" w:bidi="ar-SA"/>
              </w:rPr>
              <w:t>2个月为一个服务周期，每2个月按实际配送量，结合考核情况按实结算，中标（入围）人提供全额增值税专用发票后支付。</w:t>
            </w:r>
          </w:p>
          <w:p>
            <w:pPr>
              <w:pStyle w:val="11"/>
              <w:keepNext w:val="0"/>
              <w:keepLines w:val="0"/>
              <w:pageBreakBefore w:val="0"/>
              <w:widowControl w:val="0"/>
              <w:kinsoku/>
              <w:wordWrap/>
              <w:overflowPunct/>
              <w:topLinePunct w:val="0"/>
              <w:autoSpaceDN/>
              <w:bidi w:val="0"/>
              <w:adjustRightInd/>
              <w:snapToGrid/>
              <w:spacing w:line="500" w:lineRule="exact"/>
              <w:textAlignment w:val="auto"/>
              <w:rPr>
                <w:rFonts w:hint="eastAsia" w:ascii="仿宋" w:hAnsi="仿宋" w:eastAsia="仿宋" w:cs="仿宋"/>
                <w:color w:val="auto"/>
                <w:kern w:val="2"/>
                <w:sz w:val="28"/>
                <w:szCs w:val="28"/>
                <w:shd w:val="clear" w:color="auto" w:fill="auto"/>
                <w:lang w:val="en-US" w:eastAsia="zh-CN" w:bidi="ar-SA"/>
              </w:rPr>
            </w:pPr>
            <w:r>
              <w:rPr>
                <w:rFonts w:hint="eastAsia" w:ascii="仿宋" w:hAnsi="仿宋" w:eastAsia="仿宋" w:cs="仿宋"/>
                <w:color w:val="FF0000"/>
                <w:kern w:val="2"/>
                <w:sz w:val="28"/>
                <w:szCs w:val="28"/>
                <w:shd w:val="clear" w:color="auto" w:fill="auto"/>
                <w:lang w:val="en-US" w:eastAsia="zh-CN" w:bidi="ar-SA"/>
              </w:rPr>
              <w:t>（注：因餐饮票采购人无法抵税，结算费用时，按照扣除0.672的税后结算）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入围</w:t>
            </w:r>
          </w:p>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投标人数量</w:t>
            </w:r>
          </w:p>
        </w:tc>
        <w:tc>
          <w:tcPr>
            <w:tcW w:w="732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snapToGrid/>
              <w:spacing w:line="500" w:lineRule="exact"/>
              <w:jc w:val="left"/>
              <w:textAlignment w:val="auto"/>
              <w:rPr>
                <w:rFonts w:hint="default" w:ascii="仿宋" w:hAnsi="仿宋" w:eastAsia="仿宋" w:cs="仿宋"/>
                <w:color w:val="auto"/>
                <w:sz w:val="28"/>
                <w:szCs w:val="28"/>
                <w:shd w:val="clear" w:color="auto" w:fill="auto"/>
                <w:lang w:val="en-US" w:eastAsia="zh-CN"/>
              </w:rPr>
            </w:pPr>
            <w:r>
              <w:rPr>
                <w:rFonts w:hint="eastAsia" w:ascii="仿宋" w:hAnsi="仿宋" w:eastAsia="仿宋" w:cs="仿宋"/>
                <w:color w:val="auto"/>
                <w:sz w:val="28"/>
                <w:szCs w:val="28"/>
                <w:shd w:val="clear" w:color="auto" w:fill="auto"/>
                <w:lang w:val="en-US" w:eastAsia="zh-CN"/>
              </w:rPr>
              <w:t>3家</w:t>
            </w:r>
          </w:p>
        </w:tc>
      </w:tr>
    </w:tbl>
    <w:p>
      <w:pPr>
        <w:kinsoku/>
        <w:topLinePunct w:val="0"/>
        <w:bidi w:val="0"/>
        <w:spacing w:after="0" w:line="56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highlight w:val="none"/>
          <w:lang w:val="en-US" w:eastAsia="zh-CN"/>
        </w:rPr>
        <w:t>注：响应时须提供一份快餐试吃，</w:t>
      </w:r>
      <w:r>
        <w:rPr>
          <w:rFonts w:hint="eastAsia" w:ascii="仿宋" w:hAnsi="仿宋" w:eastAsia="仿宋" w:cs="仿宋"/>
          <w:b/>
          <w:color w:val="auto"/>
          <w:sz w:val="28"/>
          <w:szCs w:val="28"/>
          <w:highlight w:val="none"/>
        </w:rPr>
        <w:t>按</w:t>
      </w:r>
      <w:r>
        <w:rPr>
          <w:rFonts w:hint="eastAsia" w:ascii="仿宋" w:hAnsi="仿宋" w:eastAsia="仿宋" w:cs="仿宋"/>
          <w:b/>
          <w:color w:val="auto"/>
          <w:sz w:val="28"/>
          <w:szCs w:val="28"/>
          <w:highlight w:val="none"/>
          <w:lang w:val="en-US" w:eastAsia="zh-CN"/>
        </w:rPr>
        <w:t>日常</w:t>
      </w:r>
      <w:r>
        <w:rPr>
          <w:rFonts w:hint="eastAsia" w:ascii="仿宋" w:hAnsi="仿宋" w:eastAsia="仿宋" w:cs="仿宋"/>
          <w:b/>
          <w:color w:val="auto"/>
          <w:sz w:val="28"/>
          <w:szCs w:val="28"/>
          <w:highlight w:val="none"/>
        </w:rPr>
        <w:t>实际</w:t>
      </w:r>
      <w:r>
        <w:rPr>
          <w:rFonts w:hint="eastAsia" w:ascii="仿宋" w:hAnsi="仿宋" w:eastAsia="仿宋" w:cs="仿宋"/>
          <w:b/>
          <w:color w:val="auto"/>
          <w:sz w:val="28"/>
          <w:szCs w:val="28"/>
          <w:highlight w:val="none"/>
          <w:lang w:val="en-US" w:eastAsia="zh-CN"/>
        </w:rPr>
        <w:t>配置情况提供。</w:t>
      </w:r>
    </w:p>
    <w:p>
      <w:pPr>
        <w:keepNext w:val="0"/>
        <w:keepLines w:val="0"/>
        <w:pageBreakBefore w:val="0"/>
        <w:widowControl w:val="0"/>
        <w:kinsoku/>
        <w:wordWrap/>
        <w:overflowPunct/>
        <w:topLinePunct w:val="0"/>
        <w:autoSpaceDE w:val="0"/>
        <w:autoSpaceDN/>
        <w:bidi w:val="0"/>
        <w:adjustRightInd/>
        <w:snapToGrid/>
        <w:spacing w:line="500" w:lineRule="exact"/>
        <w:ind w:firstLine="562" w:firstLineChars="200"/>
        <w:jc w:val="left"/>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eastAsia="zh-CN"/>
        </w:rPr>
        <w:t>采购</w:t>
      </w:r>
      <w:r>
        <w:rPr>
          <w:rFonts w:hint="eastAsia" w:ascii="仿宋" w:hAnsi="仿宋" w:eastAsia="仿宋" w:cs="仿宋"/>
          <w:b/>
          <w:bCs/>
          <w:color w:val="auto"/>
          <w:sz w:val="28"/>
          <w:szCs w:val="28"/>
        </w:rPr>
        <w:t>需求</w:t>
      </w:r>
      <w:bookmarkStart w:id="2" w:name="_Toc30408"/>
      <w:bookmarkEnd w:id="2"/>
    </w:p>
    <w:p>
      <w:pPr>
        <w:ind w:firstLine="562"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1、保障能力：</w:t>
      </w:r>
      <w:r>
        <w:rPr>
          <w:rFonts w:hint="eastAsia" w:ascii="仿宋" w:hAnsi="仿宋" w:eastAsia="仿宋" w:cs="仿宋"/>
          <w:color w:val="auto"/>
          <w:kern w:val="2"/>
          <w:sz w:val="28"/>
          <w:szCs w:val="28"/>
          <w:highlight w:val="none"/>
          <w:lang w:val="en-US" w:eastAsia="zh-CN" w:bidi="ar-SA"/>
        </w:rPr>
        <w:t>投标人制餐、分餐和配送能力应当符合供餐需求，明确能承接的每餐供餐量（900份及以上），确保能安全准时供餐。</w:t>
      </w:r>
    </w:p>
    <w:p>
      <w:pPr>
        <w:ind w:firstLine="562" w:firstLineChars="200"/>
        <w:rPr>
          <w:rFonts w:hint="default" w:ascii="仿宋" w:hAnsi="仿宋" w:eastAsia="仿宋" w:cs="仿宋"/>
          <w:b/>
          <w:bCs/>
          <w:color w:val="auto"/>
          <w:kern w:val="2"/>
          <w:sz w:val="28"/>
          <w:szCs w:val="28"/>
          <w:lang w:val="en-US" w:eastAsia="zh-CN" w:bidi="ar-SA"/>
        </w:rPr>
      </w:pPr>
      <w:r>
        <w:rPr>
          <w:rFonts w:hint="eastAsia" w:ascii="仿宋" w:hAnsi="仿宋" w:eastAsia="仿宋" w:cs="仿宋"/>
          <w:b/>
          <w:bCs/>
          <w:smallCaps/>
          <w:color w:val="auto"/>
          <w:sz w:val="28"/>
          <w:szCs w:val="28"/>
          <w:highlight w:val="none"/>
          <w:lang w:val="en-US" w:eastAsia="zh-CN"/>
        </w:rPr>
        <w:t>注：单种菜品重量不得少于80克。</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2、保障设施：</w:t>
      </w:r>
      <w:r>
        <w:rPr>
          <w:rFonts w:hint="eastAsia" w:ascii="仿宋" w:hAnsi="仿宋" w:eastAsia="仿宋" w:cs="仿宋"/>
          <w:color w:val="auto"/>
          <w:kern w:val="2"/>
          <w:sz w:val="28"/>
          <w:szCs w:val="28"/>
          <w:lang w:val="en-US" w:eastAsia="zh-CN" w:bidi="ar-SA"/>
        </w:rPr>
        <w:t>投标人具备食品存储设施、配送车辆及人员。</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3、配送时间：</w:t>
      </w:r>
      <w:r>
        <w:rPr>
          <w:rFonts w:hint="eastAsia" w:ascii="仿宋" w:hAnsi="仿宋" w:eastAsia="仿宋" w:cs="仿宋"/>
          <w:color w:val="auto"/>
          <w:kern w:val="2"/>
          <w:sz w:val="28"/>
          <w:szCs w:val="28"/>
          <w:lang w:val="en-US" w:eastAsia="zh-CN" w:bidi="ar-SA"/>
        </w:rPr>
        <w:t>原则上要求出餐后30分钟内到达服务地点。</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早餐（6:00-6:30）、中餐（10:30-11:00）、晚餐（16:30-17:00），包括双休日及公众假期。</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特殊情况，须服从采购人意愿。</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6、食材要求</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（1）米面</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大米等级为一级，面粉等级不低于标准粉等级，符合小麦粉国家质量标准GB1355－2005。必须符合卫生，不得有腐烂、变质、油脂酸败、霉变、生虫、污秽不结、混有异物或者其他感官性状异常，并可能对人体健康有害的物质。</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需提供 QS认证、国家机关发出的产品检验合格证书。包装食品：包装箱完整，同时包装箱要印有标识、厂名、厂址、出厂日期、产品合格证、保质期限、产品成份、厂家电话号码。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（2）蔬菜</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蔬菜应当新鲜、青嫩、干净、无杂质、无杂草、无黄叶、无老叶、无浸水泡水或注水，不得含有残留农药或污染物。</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a.新鲜指各类蔬菜无腐烂、变质、无臭水伤味、无糟软状态，尤其是黄、绿豆芽、鲜菌类应保持应有的新鲜度。</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b.青嫩是指绝大多数蔬菜（除瓜类、根茎类等外）不但青而且嫩；豆角类及葫芦瓜等保持青色，外壳不能呈白色；青菜类和白菜类的外叶折断时不能有丝相连不断连的现象；丝瓜、苦瓜等折而易断，籽嫩而不硬；鲜蒜叶子不黄，头部与杆部一般大小相同。</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c.干净、无杂质、无杂草泛指各类蔬菜，特别是根（块）茎类的蔬菜不能有泥巴，鲜蒜、香葱、香菜、洋葱等的根部要干净。</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d.无黄叶、老叶主要指青菜、白菜类要见白、不能有老叶，花菜不能有青杆，鲜蒜、香葱等的杆部应当见白。</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e.无浸水、泡水或注水主要指白菜类（含花菜）、瓜果类、鲜菌类及根（块）茎类蔬菜不能浸水、泡水或注水。</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（3）鱼肉蛋类</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a.产品为在政府规定的屠宰场所屠杀的生鲜禽畜肉；</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b.产品应符合国家食品安全标准；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c.产品非病死禽畜肉；</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d.产品非“注水”禽畜肉、母猪肉、老猪肉；</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e.产品应经检验、检疫合格，能提供相应的检验、检疫证明。</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f.当日新鲜的肉类，表明有光泽，颜色均匀，有弹性，不得呈现青紫色死斑。</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g.不采购切割成小块的猪肉或加工好的肉泥。</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h.“半片鸭、半片鸡”须提供有规格包装的产品。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i.生鲜鱼、鲜禽类以剖肚，生猪按要求切割标准进行加工。</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（4）冻品类</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冻禽产品应符合《鲜、冻禽产品》国家标准（GB16869－2005），其他冻品应符合相应国家标准。遇国家修改标准，自新标准施行之日起采用新标准（冻品解冻后验收）。</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a.产品无变质、无异味、无腐败、无杂质；</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b.产品无过保质期；</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c.产品非病死禽、畜制品；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d.产品应经检验、检疫合格；</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e.产品不得超过国家食品卫生法规规定的指标；</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（5）其他副食品类</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a.食油在常温下外观清澈透明无悬浮物，气味纯正无异味，黄曲霉素不超过国家规定，不含抗氧化剂，不混合其他无效物资，不添加对人体健康有害物资；调味品（辣椒、五香、桂皮、桂叶等干货类调味品除外）应为优质产品、有规范包装。</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b.干散货外形完整均匀，色泽正常，有光泽，无腐烂、无变质、无变味、无霉变、无虫蛀、无杂质，不混合其他无效物资，不添加对人体健康有害物资，干货要求保证干性。副食品包装应该有产品名 称、厂名、厂址或出产地等，应有产品质量合格证明。豆干、紫菜、虾米等散装副食品应达到国家相关食品安全标准；面粉等级不低于标准粉等级，符合小麦粉国家质量标准GB1355－2005。</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（6）水果、水产品、蔬菜等其他散装商品:须达到新鲜、无腐烂、无变质等。</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食品包装应规范、卫生、整齐、美观；肉类要进行分割，外包透明薄膜，外包装用纸箱包装；冻类等用保鲜袋进行冷冻封装；活鱼类、海鲜类用网袋装好，放置有加氧机的清水中，保持鲜活；干货、调料、水果类用纸箱包装；蔬菜瓜类用塑料筐盛装。</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7、食材进货管理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（1）肉、禽、蛋、水产等必须具有动物检验检疫合格证明或检验报告；</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（2）预包装食品应当由正规食品生产企业生产，标量符合要求并有出厂标准合格证明，不得采购散装食品；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（3）蔬菜必须保证新鲜，按供货批次提供农贸市场蔬菜农药检测结果，且符合食品卫生安全法要求；</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（4）采购货源必须持有与销售内容相对应的有效营业执照、食品生产许可证或食品经营许可证；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（5）投标人负责供货产品的食品安全，须做到来源可溯；</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w:t>
      </w:r>
      <w:r>
        <w:rPr>
          <w:rFonts w:hint="eastAsia" w:ascii="仿宋" w:hAnsi="仿宋" w:eastAsia="仿宋" w:cs="仿宋"/>
          <w:b w:val="0"/>
          <w:bCs w:val="0"/>
          <w:color w:val="auto"/>
          <w:kern w:val="2"/>
          <w:sz w:val="28"/>
          <w:szCs w:val="28"/>
          <w:lang w:val="en-US" w:eastAsia="zh-CN" w:bidi="ar-SA"/>
        </w:rPr>
        <w:t>开展食品安全自查，自查发现问题是否闭环处置。</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（7）所有的产品均不得为转基因产品。</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8、服务管理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采购管理：投标人应从合法渠道采购食品及原料，建立稳定的原料供应渠道，认真查验、索取并留存供货者的相关证照证明、供货清单及产品合格证明。应建立食材采购台帐，如实记录产品名称、规格、数量、生产批号、保质期、供货者姓名及供货日期。</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（2)食品储存：食品储存严格按照原料、半成品、成品等分类存放。食物原辅料要根据标签说明的贮存条件和温度或其他常识要求，选择在常温、通风、冷藏 (0- 5°C) 或冷冻(—1 8°C) 条件下进行存储。冷食类食品宜放置在密闭容器内或使用保鲜膜等进行无污染覆盖，在专用冷冻或冷藏设备中存放，避免生熟食品互相接触，产生交叉污染。</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(3）加工制作：不同类别食品分开清冼、切配和存放，防止交叉污染。烹制食品须烧熟煮透，确保中心温度达到70°C以上。严禁使用腐败变质、超过保质期和易于引发食物中毒的高风险食品。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（4）清洗消毒：分餐备餐专间使用前，紫外线消毒不少于30分钟，专用分餐场所应每天进行消毒。确保分餐用具消毒保洁设施设备运行正常，分餐用具消毒温度应在100°C以上，消毒时间不少于 30 分钟。应使用符合国家标准和卫生规范的洗涤剂和消毒剂。</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9、人员管理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（1）人员晨检：严格落实人员晨检，做到“三禁止”,即：禁止无防疫绿码或检测体温 37.3°C以上人员上岗；禁止咳嗽、咽部炎症等呼吸道症状和腹泻、皮肤有伤口或感染等其他有碍食品安全问题的从业人员上岗；禁止无关人员进入厨房；送餐人员需接种新冠疫苗预防针，每日送餐前需检查防疫码、测量体温并出具72小时内有效的阴性核酸检测报告。</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（2）个人卫生：服务人员应保持良好的个人卫生，经常洗手消毒，正确佩戴口罩；分餐人员分餐时应戴手套；送餐人员送餐前必须测量体温并穿戴工作衣帽及口罩。</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10、配送管理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（1）车辆容器：投标人应使用专用的密闭容器和车辆配送食品；配送食品前须对配送车辆、周转箱、容器等设备进行全面清洁消毒。</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（2）用具：采购和使用符合食品安全标准的一次性餐用具。</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 xml:space="preserve">11、数字化管理 </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（1）后厨“ 全阳光”。 投标人后厨须安装“ 阳光厨房”。 在粗加工、烹饪、餐用具洗消、盒饭分装场所安装摄像头。上述摄像头应具备ＡＩ实时抓拍功能，且视频存储不少于７天，画面要求清晰、无遮挡。</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（2）管理“全闭环”。 投标人运用“防疫餐饮在线”系统，每日上传供餐单位基本信息、食品安全管理人员、从业人员信息、 食材供应、“三索一留” (索证索票索码和留样)等食品安全管理信息，实现集中隔离人员餐饮安全的全链条闭环管理。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（3）食材“全可溯”。 食材供应商上“浙食链”的，供餐单位有码扫码、无码索码；食材供应商未上“浙食链”的，供餐单位上传索证索票。</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kern w:val="2"/>
          <w:sz w:val="28"/>
          <w:szCs w:val="28"/>
          <w:lang w:val="en-US" w:eastAsia="zh-CN" w:bidi="ar-SA"/>
        </w:rPr>
        <w:t>注：投标人须具备阳光厨房或承诺中标后十天内配备到位，已具备阳光厨房的提供相关证明材料，未配备的提供承诺函。材料须封装进投标文件内。若未具备或未承诺或承诺中标后十天内未配备到位的取消中标资格，采购人可以按综合得分排名顺序与排名靠后的中标候选人依次签订合同。</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12、其他要求</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kern w:val="2"/>
          <w:sz w:val="28"/>
          <w:szCs w:val="28"/>
          <w:lang w:val="en-US" w:eastAsia="zh-CN" w:bidi="ar-SA"/>
        </w:rPr>
        <w:t xml:space="preserve"> （1）严格执行最新《中华人民共和国食品安全法》、</w:t>
      </w:r>
      <w:r>
        <w:rPr>
          <w:rFonts w:hint="eastAsia" w:ascii="仿宋" w:hAnsi="仿宋" w:eastAsia="仿宋" w:cs="仿宋"/>
          <w:i w:val="0"/>
          <w:caps w:val="0"/>
          <w:color w:val="auto"/>
          <w:spacing w:val="0"/>
          <w:kern w:val="0"/>
          <w:sz w:val="28"/>
          <w:szCs w:val="28"/>
          <w:shd w:val="clear" w:color="auto" w:fill="FFFFFF"/>
          <w:lang w:val="en-US" w:eastAsia="zh-CN" w:bidi="ar"/>
        </w:rPr>
        <w:t>《</w:t>
      </w:r>
      <w:r>
        <w:rPr>
          <w:rFonts w:hint="eastAsia" w:ascii="仿宋" w:hAnsi="仿宋" w:eastAsia="仿宋" w:cs="仿宋"/>
          <w:color w:val="auto"/>
          <w:sz w:val="28"/>
          <w:szCs w:val="28"/>
        </w:rPr>
        <w:t>餐饮服务食品安全操作规范</w:t>
      </w:r>
      <w:r>
        <w:rPr>
          <w:rFonts w:hint="eastAsia" w:ascii="仿宋" w:hAnsi="仿宋" w:eastAsia="仿宋" w:cs="仿宋"/>
          <w:i w:val="0"/>
          <w:caps w:val="0"/>
          <w:color w:val="auto"/>
          <w:spacing w:val="0"/>
          <w:kern w:val="0"/>
          <w:sz w:val="28"/>
          <w:szCs w:val="28"/>
          <w:shd w:val="clear" w:color="auto" w:fill="FFFFFF"/>
          <w:lang w:val="en-US" w:eastAsia="zh-CN" w:bidi="ar"/>
        </w:rPr>
        <w:t>》</w:t>
      </w:r>
      <w:r>
        <w:rPr>
          <w:rFonts w:hint="eastAsia" w:ascii="仿宋" w:hAnsi="仿宋" w:eastAsia="仿宋" w:cs="仿宋"/>
          <w:color w:val="auto"/>
          <w:kern w:val="2"/>
          <w:sz w:val="28"/>
          <w:szCs w:val="28"/>
          <w:lang w:val="en-US" w:eastAsia="zh-CN" w:bidi="ar-SA"/>
        </w:rPr>
        <w:t>、GB16153《饭馆（餐厅）卫生标准》、GB14934《食（饮）具消毒卫生标准》等卫生安全法律法规及标准。</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（2）品种限制：不得提供冷食类食品、生食类食品及自制饮品；不得提供四季豆、鲜黄花菜、野生蘑菇、发芽土豆等高风险食材制作的餐品。</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投标人负责饮食安全卫生，需与采购人签订饮食安全卫生责任书，在服务期内所有大宗食用品原料（主指米、面粉、油（严禁出现地沟油、转基因类油）、肉制品、海鲜、蔬菜、调料、豆制品等）接受采购人监督，需提供食品原材料供货商的各类食品安全经营许可证，海鲜、蔬菜的摊位资格证和农药测试证明，肉类产品检验检疫合格证并提供进货单据。</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（4）投标人必须严格按照餐饮清单和数量制定菜肴（每周五12:00前将下周菜谱提交至采购人审核），早餐以面食(非汤面)、包点、点心为主（不少于6个品种）；中餐、晚餐进行各种价位的荤素</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b/>
          <w:bCs/>
          <w:color w:val="auto"/>
          <w:kern w:val="2"/>
          <w:sz w:val="28"/>
          <w:szCs w:val="28"/>
          <w:highlight w:val="none"/>
          <w:lang w:val="en-US" w:eastAsia="zh-CN" w:bidi="ar-SA"/>
        </w:rPr>
        <w:t>工作餐至少包含三荤二素，隔离餐至少包含二荤二素</w:t>
      </w:r>
      <w:r>
        <w:rPr>
          <w:rFonts w:hint="eastAsia" w:ascii="仿宋" w:hAnsi="仿宋" w:eastAsia="仿宋" w:cs="仿宋"/>
          <w:color w:val="auto"/>
          <w:kern w:val="2"/>
          <w:sz w:val="28"/>
          <w:szCs w:val="28"/>
          <w:highlight w:val="none"/>
          <w:lang w:val="en-US" w:eastAsia="zh-CN" w:bidi="ar-SA"/>
        </w:rPr>
        <w:t>）并每餐提供一种样式配送、1样水果</w:t>
      </w:r>
      <w:r>
        <w:rPr>
          <w:rFonts w:hint="eastAsia" w:ascii="仿宋" w:hAnsi="仿宋" w:eastAsia="仿宋" w:cs="仿宋"/>
          <w:color w:val="auto"/>
          <w:kern w:val="2"/>
          <w:sz w:val="28"/>
          <w:szCs w:val="28"/>
          <w:lang w:val="en-US" w:eastAsia="zh-CN" w:bidi="ar-SA"/>
        </w:rPr>
        <w:t>、汤/饮料搭配。一周菜品最多重复1次（禁渔期间、四季时令菜品、汇总的隔离人员饮食习惯可按实际情况并经采购人确认菜单后酌情调整），采购人对饭菜品种、价格、数量、1人餐份量有监督检查的权利。</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（5）投标人对使用的一次性餐盒需符合相关行业标准，环保，可降解。</w:t>
      </w:r>
      <w:r>
        <w:rPr>
          <w:rFonts w:hint="eastAsia" w:ascii="仿宋" w:hAnsi="仿宋" w:eastAsia="仿宋" w:cs="仿宋"/>
          <w:b w:val="0"/>
          <w:bCs w:val="0"/>
          <w:color w:val="auto"/>
          <w:kern w:val="2"/>
          <w:sz w:val="28"/>
          <w:szCs w:val="28"/>
          <w:lang w:val="en-US" w:eastAsia="zh-CN" w:bidi="ar-SA"/>
        </w:rPr>
        <w:t>不使用一次性发泡塑料餐具、不可降解塑料袋。</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（6）投标人须自觉接受卫生部门的各项检查及采购人对食堂管理及配送的考核。</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7）服务期内，餐食安全、卫生由投标人负责，如因投标人责任造成食物中毒、安全等事故，投标人应承担一切责任及损失赔偿，采购人根据情况可以终止合同。服务周期内引起投诉次数达到3次及以上且不积极并未能妥善处理的，或发生卫生事件，给采购人造成不良后果的，采购人有权单方面终止合同。</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（8）如遇特殊情况，如台风等灾害性天气或禁渔期等原因，投标人有权向采购人提出适度的调整，但必须征得采购人同意后方可实施。</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（9）在服务期内，投标人所有人员的事故由投标人全权负责。</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10）投标人所有工作人员，必须无条件服从采购人管理人员的调度、指挥，如发现不符合采购人管理要求的工作人员，采购人有权提出整改、更换，投标人须在1个工作日内整改、更换到位，如投标人整改、更换不到位，采购人有权终止合同。</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（11）环境卫生干净整洁。</w:t>
      </w:r>
    </w:p>
    <w:p>
      <w:pPr>
        <w:pStyle w:val="11"/>
        <w:keepNext w:val="0"/>
        <w:keepLines w:val="0"/>
        <w:pageBreakBefore w:val="0"/>
        <w:widowControl w:val="0"/>
        <w:kinsoku/>
        <w:wordWrap/>
        <w:overflowPunct/>
        <w:topLinePunct w:val="0"/>
        <w:autoSpaceDN/>
        <w:bidi w:val="0"/>
        <w:adjustRightInd/>
        <w:snapToGrid/>
        <w:spacing w:line="500" w:lineRule="exact"/>
        <w:ind w:firstLine="562" w:firstLineChars="200"/>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12、餐饮、配送服务管理考核细则</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餐饮、配送管理按</w:t>
      </w:r>
      <w:r>
        <w:rPr>
          <w:rFonts w:hint="eastAsia" w:ascii="仿宋" w:hAnsi="仿宋" w:eastAsia="仿宋" w:cs="仿宋"/>
          <w:color w:val="auto"/>
          <w:sz w:val="28"/>
          <w:szCs w:val="28"/>
          <w:lang w:val="en-US" w:eastAsia="zh-CN"/>
        </w:rPr>
        <w:t>采购人</w:t>
      </w:r>
      <w:r>
        <w:rPr>
          <w:rFonts w:hint="eastAsia" w:ascii="仿宋" w:hAnsi="仿宋" w:eastAsia="仿宋" w:cs="仿宋"/>
          <w:color w:val="auto"/>
          <w:sz w:val="28"/>
          <w:szCs w:val="28"/>
        </w:rPr>
        <w:t>每</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采取不定时、不定次数或抽查形式对餐饮、配送服务情况进行考核，本考核采用100分制，对考核项目进行扣分罚款。</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考核罚金金额按考核结果平均得分计算（平均得分95分</w:t>
      </w:r>
      <w:r>
        <w:rPr>
          <w:rFonts w:hint="eastAsia" w:ascii="仿宋" w:hAnsi="仿宋" w:eastAsia="仿宋" w:cs="仿宋"/>
          <w:color w:val="auto"/>
          <w:sz w:val="28"/>
          <w:szCs w:val="28"/>
          <w:lang w:eastAsia="zh-CN"/>
        </w:rPr>
        <w:t>（含）以上的，不扣罚款，全额支付该月服务款；</w:t>
      </w:r>
      <w:r>
        <w:rPr>
          <w:rFonts w:hint="eastAsia" w:ascii="仿宋" w:hAnsi="仿宋" w:eastAsia="仿宋" w:cs="仿宋"/>
          <w:color w:val="auto"/>
          <w:sz w:val="28"/>
          <w:szCs w:val="28"/>
        </w:rPr>
        <w:t>平均得分95分以下至85分</w:t>
      </w:r>
      <w:r>
        <w:rPr>
          <w:rFonts w:hint="eastAsia" w:ascii="仿宋" w:hAnsi="仿宋" w:eastAsia="仿宋" w:cs="仿宋"/>
          <w:color w:val="auto"/>
          <w:sz w:val="28"/>
          <w:szCs w:val="28"/>
          <w:lang w:eastAsia="zh-CN"/>
        </w:rPr>
        <w:t>（含）</w:t>
      </w:r>
      <w:r>
        <w:rPr>
          <w:rFonts w:hint="eastAsia" w:ascii="仿宋" w:hAnsi="仿宋" w:eastAsia="仿宋" w:cs="仿宋"/>
          <w:color w:val="auto"/>
          <w:sz w:val="28"/>
          <w:szCs w:val="28"/>
        </w:rPr>
        <w:t>以上的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罚款该</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服务款的5%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平均得分85分以下至75分（含）以上的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罚款该</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服务款的10%</w:t>
      </w:r>
      <w:r>
        <w:rPr>
          <w:rFonts w:hint="eastAsia" w:ascii="仿宋" w:hAnsi="仿宋" w:eastAsia="仿宋" w:cs="仿宋"/>
          <w:color w:val="auto"/>
          <w:sz w:val="28"/>
          <w:szCs w:val="28"/>
          <w:lang w:eastAsia="zh-CN"/>
        </w:rPr>
        <w:t>；</w:t>
      </w:r>
      <w:r>
        <w:rPr>
          <w:rFonts w:hint="eastAsia" w:ascii="仿宋" w:hAnsi="仿宋" w:eastAsia="仿宋" w:cs="仿宋"/>
          <w:bCs/>
          <w:color w:val="auto"/>
          <w:sz w:val="28"/>
          <w:szCs w:val="28"/>
          <w:lang w:eastAsia="zh-CN"/>
        </w:rPr>
        <w:t>平均</w:t>
      </w:r>
      <w:r>
        <w:rPr>
          <w:rFonts w:hint="eastAsia" w:ascii="仿宋" w:hAnsi="仿宋" w:eastAsia="仿宋" w:cs="仿宋"/>
          <w:color w:val="auto"/>
          <w:sz w:val="28"/>
          <w:szCs w:val="28"/>
        </w:rPr>
        <w:t>得分</w:t>
      </w:r>
      <w:r>
        <w:rPr>
          <w:rFonts w:hint="eastAsia" w:ascii="仿宋" w:hAnsi="仿宋" w:eastAsia="仿宋" w:cs="仿宋"/>
          <w:bCs/>
          <w:color w:val="auto"/>
          <w:sz w:val="28"/>
          <w:szCs w:val="28"/>
        </w:rPr>
        <w:t>75分及以下</w:t>
      </w:r>
      <w:r>
        <w:rPr>
          <w:rFonts w:hint="eastAsia" w:ascii="仿宋" w:hAnsi="仿宋" w:eastAsia="仿宋" w:cs="仿宋"/>
          <w:bCs/>
          <w:color w:val="auto"/>
          <w:sz w:val="28"/>
          <w:szCs w:val="28"/>
          <w:lang w:eastAsia="zh-CN"/>
        </w:rPr>
        <w:t>的，</w:t>
      </w:r>
      <w:r>
        <w:rPr>
          <w:rFonts w:hint="eastAsia" w:ascii="仿宋" w:hAnsi="仿宋" w:eastAsia="仿宋" w:cs="仿宋"/>
          <w:color w:val="auto"/>
          <w:sz w:val="28"/>
          <w:szCs w:val="28"/>
        </w:rPr>
        <w:t>罚款该</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rPr>
        <w:t>服务款的</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0%）</w:t>
      </w:r>
      <w:r>
        <w:rPr>
          <w:rFonts w:hint="eastAsia" w:ascii="仿宋" w:hAnsi="仿宋" w:eastAsia="仿宋" w:cs="仿宋"/>
          <w:color w:val="auto"/>
          <w:sz w:val="28"/>
          <w:szCs w:val="28"/>
          <w:lang w:eastAsia="zh-CN"/>
        </w:rPr>
        <w:t>。</w:t>
      </w:r>
    </w:p>
    <w:p>
      <w:pPr>
        <w:pStyle w:val="11"/>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）平均</w:t>
      </w:r>
      <w:r>
        <w:rPr>
          <w:rFonts w:hint="eastAsia" w:ascii="仿宋" w:hAnsi="仿宋" w:eastAsia="仿宋" w:cs="仿宋"/>
          <w:color w:val="auto"/>
          <w:sz w:val="28"/>
          <w:szCs w:val="28"/>
        </w:rPr>
        <w:t>得分</w:t>
      </w:r>
      <w:r>
        <w:rPr>
          <w:rFonts w:hint="eastAsia" w:ascii="仿宋" w:hAnsi="仿宋" w:eastAsia="仿宋" w:cs="仿宋"/>
          <w:bCs/>
          <w:color w:val="auto"/>
          <w:sz w:val="28"/>
          <w:szCs w:val="28"/>
        </w:rPr>
        <w:t>75分及以下出现2次或</w:t>
      </w:r>
      <w:r>
        <w:rPr>
          <w:rFonts w:hint="eastAsia" w:ascii="仿宋" w:hAnsi="仿宋" w:eastAsia="仿宋" w:cs="仿宋"/>
          <w:b w:val="0"/>
          <w:bCs/>
          <w:color w:val="auto"/>
          <w:sz w:val="28"/>
          <w:szCs w:val="28"/>
          <w:lang w:eastAsia="zh-CN"/>
        </w:rPr>
        <w:t>同一</w:t>
      </w:r>
      <w:r>
        <w:rPr>
          <w:rFonts w:hint="eastAsia" w:ascii="仿宋" w:hAnsi="仿宋" w:eastAsia="仿宋" w:cs="仿宋"/>
          <w:bCs/>
          <w:color w:val="auto"/>
          <w:sz w:val="28"/>
          <w:szCs w:val="28"/>
        </w:rPr>
        <w:t>扣分项连续出现</w:t>
      </w:r>
      <w:r>
        <w:rPr>
          <w:rFonts w:hint="eastAsia" w:ascii="仿宋" w:hAnsi="仿宋" w:eastAsia="仿宋" w:cs="仿宋"/>
          <w:bCs/>
          <w:color w:val="auto"/>
          <w:sz w:val="28"/>
          <w:szCs w:val="28"/>
          <w:lang w:val="en-US" w:eastAsia="zh-CN"/>
        </w:rPr>
        <w:t>3</w:t>
      </w:r>
      <w:r>
        <w:rPr>
          <w:rFonts w:hint="eastAsia" w:ascii="仿宋" w:hAnsi="仿宋" w:eastAsia="仿宋" w:cs="仿宋"/>
          <w:bCs/>
          <w:color w:val="auto"/>
          <w:sz w:val="28"/>
          <w:szCs w:val="28"/>
        </w:rPr>
        <w:t>次</w:t>
      </w:r>
      <w:r>
        <w:rPr>
          <w:rFonts w:hint="eastAsia" w:ascii="仿宋" w:hAnsi="仿宋" w:eastAsia="仿宋" w:cs="仿宋"/>
          <w:bCs/>
          <w:color w:val="auto"/>
          <w:sz w:val="28"/>
          <w:szCs w:val="28"/>
          <w:lang w:eastAsia="zh-CN"/>
        </w:rPr>
        <w:t>及</w:t>
      </w:r>
      <w:r>
        <w:rPr>
          <w:rFonts w:hint="eastAsia" w:ascii="仿宋" w:hAnsi="仿宋" w:eastAsia="仿宋" w:cs="仿宋"/>
          <w:bCs/>
          <w:color w:val="auto"/>
          <w:sz w:val="28"/>
          <w:szCs w:val="28"/>
        </w:rPr>
        <w:t>以上，采购人有权终止项目合同。</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D1205B"/>
    <w:rsid w:val="5CD1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eastAsia="仿宋_GB2312"/>
      <w:i/>
      <w:kern w:val="0"/>
      <w:sz w:val="2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oc 3"/>
    <w:basedOn w:val="1"/>
    <w:next w:val="1"/>
    <w:qFormat/>
    <w:uiPriority w:val="0"/>
    <w:pPr>
      <w:ind w:left="420"/>
      <w:jc w:val="left"/>
    </w:pPr>
    <w:rPr>
      <w:rFonts w:ascii="仿宋_GB2312" w:eastAsia="仿宋_GB2312"/>
      <w:i/>
      <w:iCs/>
      <w:sz w:val="20"/>
    </w:rPr>
  </w:style>
  <w:style w:type="paragraph" w:styleId="4">
    <w:name w:val="toc 2"/>
    <w:basedOn w:val="1"/>
    <w:next w:val="1"/>
    <w:qFormat/>
    <w:uiPriority w:val="0"/>
    <w:pPr>
      <w:ind w:left="210"/>
      <w:jc w:val="left"/>
    </w:pPr>
    <w:rPr>
      <w:rFonts w:ascii="仿宋_GB2312" w:eastAsia="仿宋_GB2312"/>
      <w:smallCaps/>
      <w:sz w:val="20"/>
    </w:rPr>
  </w:style>
  <w:style w:type="paragraph" w:customStyle="1" w:styleId="7">
    <w:name w:val="正文1"/>
    <w:basedOn w:val="3"/>
    <w:next w:val="8"/>
    <w:qFormat/>
    <w:uiPriority w:val="0"/>
    <w:pPr>
      <w:widowControl w:val="0"/>
      <w:adjustRightInd w:val="0"/>
      <w:spacing w:line="312" w:lineRule="atLeast"/>
      <w:jc w:val="both"/>
      <w:textAlignment w:val="baseline"/>
    </w:pPr>
    <w:rPr>
      <w:rFonts w:ascii="宋体"/>
      <w:sz w:val="34"/>
      <w:lang w:val="en-US" w:eastAsia="zh-CN" w:bidi="ar-SA"/>
    </w:rPr>
  </w:style>
  <w:style w:type="paragraph" w:customStyle="1" w:styleId="8">
    <w:name w:val="自动更正"/>
    <w:next w:val="9"/>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9">
    <w:name w:val="xl39"/>
    <w:basedOn w:val="1"/>
    <w:next w:val="10"/>
    <w:qFormat/>
    <w:uiPriority w:val="99"/>
    <w:pPr>
      <w:pBdr>
        <w:left w:val="single" w:color="auto" w:sz="4" w:space="0"/>
        <w:right w:val="single" w:color="auto" w:sz="4" w:space="0"/>
      </w:pBdr>
      <w:spacing w:before="100" w:beforeAutospacing="1" w:after="100" w:afterAutospacing="1"/>
      <w:jc w:val="center"/>
    </w:pPr>
    <w:rPr>
      <w:rFonts w:ascii="宋体" w:hAnsi="宋体" w:cs="宋体"/>
      <w:b/>
      <w:bCs/>
      <w:sz w:val="24"/>
      <w:szCs w:val="24"/>
    </w:rPr>
  </w:style>
  <w:style w:type="paragraph" w:customStyle="1" w:styleId="10">
    <w:name w:val="分手多日，近况如何？"/>
    <w:next w:val="1"/>
    <w:qFormat/>
    <w:uiPriority w:val="99"/>
    <w:pPr>
      <w:widowControl w:val="0"/>
      <w:jc w:val="both"/>
    </w:pPr>
    <w:rPr>
      <w:rFonts w:ascii="Times New Roman" w:hAnsi="Times New Roman" w:eastAsia="等线" w:cs="Times New Roman"/>
      <w:sz w:val="21"/>
      <w:lang w:val="en-US" w:eastAsia="zh-CN" w:bidi="ar-SA"/>
    </w:rPr>
  </w:style>
  <w:style w:type="paragraph" w:customStyle="1" w:styleId="11">
    <w:name w:val="_Style 3"/>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2022-11-04T01:18:00Z</dcterms:created>
  <dc:creator>微信用户</dc:creator>
  <cp:lastModifiedBy>微信用户</cp:lastModifiedBy>
  <dcterms:modified xsi:type="dcterms:W3CDTF">2022-11-04T01:20:05Z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D4CA555F7A5749E7808BE00B4C3B7EE6</vt:lpwstr>
  </property>
</Properties>
</file>